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w:hAnsi="Arial" w:cs="Arial"/>
          <w:iCs/>
          <w:color w:val="EE0000"/>
        </w:rPr>
      </w:pPr>
      <w:r>
        <w:rPr>
          <w:rFonts w:cs="Arial" w:ascii="Arial" w:hAnsi="Arial"/>
          <w:i/>
          <w:color w:val="EE0000"/>
        </w:rPr>
        <w:t>Absender</w:t>
        <w:tab/>
        <w:tab/>
        <w:tab/>
        <w:tab/>
        <w:tab/>
        <w:tab/>
        <w:tab/>
        <w:tab/>
        <w:tab/>
        <w:tab/>
      </w:r>
      <w:r>
        <w:rPr>
          <w:rFonts w:cs="Arial" w:ascii="Arial" w:hAnsi="Arial"/>
          <w:iCs/>
          <w:color w:val="EE0000"/>
        </w:rPr>
        <w:t xml:space="preserve"> </w:t>
      </w:r>
    </w:p>
    <w:p>
      <w:pPr>
        <w:pStyle w:val="Normal"/>
        <w:rPr>
          <w:rFonts w:ascii="Arial" w:hAnsi="Arial" w:cs="Arial"/>
          <w:color w:val="EE0000"/>
        </w:rPr>
      </w:pPr>
      <w:r>
        <w:rPr>
          <w:rFonts w:cs="Arial" w:ascii="Arial" w:hAnsi="Arial"/>
          <w:color w:val="EE0000"/>
        </w:rPr>
        <w:t>…</w:t>
      </w:r>
    </w:p>
    <w:p>
      <w:pPr>
        <w:pStyle w:val="Normal"/>
        <w:rPr>
          <w:rFonts w:ascii="Arial" w:hAnsi="Arial" w:cs="Arial"/>
          <w:color w:val="EE0000"/>
        </w:rPr>
      </w:pPr>
      <w:r>
        <w:rPr>
          <w:rFonts w:cs="Arial" w:ascii="Arial" w:hAnsi="Arial"/>
          <w:color w:val="EE0000"/>
        </w:rPr>
        <w:t>…</w:t>
      </w:r>
    </w:p>
    <w:p>
      <w:pPr>
        <w:pStyle w:val="Normal"/>
        <w:rPr>
          <w:rFonts w:ascii="Arial" w:hAnsi="Arial" w:cs="Arial"/>
          <w:color w:val="EE0000"/>
        </w:rPr>
      </w:pPr>
      <w:r>
        <w:rPr>
          <w:rFonts w:cs="Arial" w:ascii="Arial" w:hAnsi="Arial"/>
          <w:color w:val="EE0000"/>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t>An das</w:t>
      </w:r>
    </w:p>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t>Thüringer Landesamt für Finanzen</w:t>
      </w:r>
    </w:p>
    <w:p>
      <w:pPr>
        <w:pStyle w:val="Normal"/>
        <w:numPr>
          <w:ilvl w:val="0"/>
          <w:numId w:val="0"/>
        </w:numPr>
        <w:outlineLvl w:val="0"/>
        <w:rPr>
          <w:rFonts w:ascii="Arial" w:hAnsi="Arial" w:cs="Arial"/>
        </w:rPr>
      </w:pPr>
      <w:r>
        <w:rPr>
          <w:rFonts w:cs="Arial" w:ascii="Arial" w:hAnsi="Arial"/>
        </w:rPr>
        <w:t>Abteilung Bezüge in Erfurt</w:t>
      </w:r>
    </w:p>
    <w:p>
      <w:pPr>
        <w:pStyle w:val="Normal"/>
        <w:rPr>
          <w:rFonts w:ascii="Arial" w:hAnsi="Arial" w:cs="Arial"/>
        </w:rPr>
      </w:pPr>
      <w:r>
        <w:rPr>
          <w:rFonts w:cs="Arial" w:ascii="Arial" w:hAnsi="Arial"/>
        </w:rPr>
        <w:t>Steigerstraße 24</w:t>
      </w:r>
    </w:p>
    <w:p>
      <w:pPr>
        <w:pStyle w:val="Normal"/>
        <w:rPr>
          <w:rFonts w:ascii="Arial" w:hAnsi="Arial" w:cs="Arial"/>
        </w:rPr>
      </w:pPr>
      <w:r>
        <w:rPr>
          <w:rFonts w:cs="Arial" w:ascii="Arial" w:hAnsi="Arial"/>
        </w:rPr>
        <w:t>99096 Erfurt</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i/>
          <w:color w:val="FF0000"/>
        </w:rPr>
        <w:t>(für Kommune/ LRA: Adressat an zuständige Bezügestelle anpassen!)</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color w:val="EE0000"/>
        </w:rPr>
      </w:pPr>
      <w:r>
        <w:rPr>
          <w:rFonts w:cs="Arial" w:ascii="Arial" w:hAnsi="Arial"/>
          <w:i/>
        </w:rPr>
        <w:tab/>
        <w:tab/>
        <w:tab/>
        <w:tab/>
        <w:tab/>
        <w:tab/>
        <w:tab/>
        <w:tab/>
        <w:tab/>
        <w:tab/>
      </w:r>
      <w:r>
        <w:rPr>
          <w:rFonts w:cs="Arial" w:ascii="Arial" w:hAnsi="Arial"/>
          <w:i/>
          <w:color w:val="EE0000"/>
        </w:rPr>
        <w:t>Datum: XX.XX.XXXX</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Personalnummer/AG: ………………………………/…………………………………………...</w:t>
      </w:r>
    </w:p>
    <w:p>
      <w:pPr>
        <w:pStyle w:val="Normal"/>
        <w:rPr>
          <w:rFonts w:ascii="Arial" w:hAnsi="Arial" w:cs="Arial"/>
          <w:i/>
          <w:i/>
          <w:sz w:val="28"/>
          <w:szCs w:val="28"/>
        </w:rPr>
      </w:pPr>
      <w:r>
        <w:rPr>
          <w:rFonts w:cs="Arial" w:ascii="Arial" w:hAnsi="Arial"/>
          <w:i/>
          <w:sz w:val="28"/>
          <w:szCs w:val="28"/>
        </w:rPr>
      </w:r>
    </w:p>
    <w:p>
      <w:pPr>
        <w:pStyle w:val="Normal"/>
        <w:numPr>
          <w:ilvl w:val="0"/>
          <w:numId w:val="0"/>
        </w:numPr>
        <w:jc w:val="both"/>
        <w:outlineLvl w:val="0"/>
        <w:rPr>
          <w:rFonts w:ascii="Arial" w:hAnsi="Arial" w:cs="Arial"/>
          <w:b/>
          <w:bCs/>
          <w:sz w:val="28"/>
          <w:szCs w:val="28"/>
        </w:rPr>
      </w:pPr>
      <w:r>
        <w:rPr>
          <w:rFonts w:cs="Arial" w:ascii="Arial" w:hAnsi="Arial"/>
          <w:b/>
          <w:bCs/>
          <w:sz w:val="28"/>
          <w:szCs w:val="28"/>
        </w:rPr>
      </w:r>
    </w:p>
    <w:p>
      <w:pPr>
        <w:pStyle w:val="Normal"/>
        <w:numPr>
          <w:ilvl w:val="0"/>
          <w:numId w:val="0"/>
        </w:numPr>
        <w:jc w:val="both"/>
        <w:outlineLvl w:val="0"/>
        <w:rPr>
          <w:rFonts w:ascii="Arial" w:hAnsi="Arial" w:cs="Arial"/>
          <w:b/>
          <w:sz w:val="28"/>
          <w:szCs w:val="28"/>
        </w:rPr>
      </w:pPr>
      <w:r>
        <w:rPr>
          <w:rFonts w:cs="Arial" w:ascii="Arial" w:hAnsi="Arial"/>
          <w:b/>
          <w:bCs/>
          <w:sz w:val="28"/>
          <w:szCs w:val="28"/>
        </w:rPr>
        <w:t>Antrag auf Gewährung einer amtsangemessenen Alimentation nicht nur im laufenden Haushaltsjahr, sondern auch zukünftig (*)</w:t>
      </w:r>
    </w:p>
    <w:p>
      <w:pPr>
        <w:pStyle w:val="Normal"/>
        <w:numPr>
          <w:ilvl w:val="0"/>
          <w:numId w:val="0"/>
        </w:numPr>
        <w:jc w:val="both"/>
        <w:outlineLvl w:val="0"/>
        <w:rPr>
          <w:rFonts w:ascii="Arial" w:hAnsi="Arial" w:cs="Arial"/>
          <w:b/>
          <w:sz w:val="28"/>
          <w:szCs w:val="28"/>
        </w:rPr>
      </w:pPr>
      <w:r>
        <w:rPr/>
      </w:r>
    </w:p>
    <w:p>
      <w:pPr>
        <w:pStyle w:val="Normal"/>
        <w:numPr>
          <w:ilvl w:val="0"/>
          <w:numId w:val="0"/>
        </w:numPr>
        <w:jc w:val="both"/>
        <w:outlineLvl w:val="0"/>
        <w:rPr>
          <w:rFonts w:ascii="Arial" w:hAnsi="Arial" w:cs="Arial"/>
          <w:bCs/>
        </w:rPr>
      </w:pPr>
      <w:r>
        <w:rPr>
          <w:rFonts w:cs="Arial" w:ascii="Arial" w:hAnsi="Arial"/>
          <w:bCs/>
        </w:rPr>
        <w:t xml:space="preserve">Verfassungswidrige Besoldung (Urteil BVerfG zu 2 BvL 4/18)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i/>
        </w:rPr>
        <w:tab/>
        <w:tab/>
        <w:tab/>
        <w:tab/>
        <w:tab/>
        <w:tab/>
        <w:tab/>
        <w:tab/>
        <w:tab/>
        <w:tab/>
        <w:tab/>
      </w:r>
    </w:p>
    <w:p>
      <w:pPr>
        <w:pStyle w:val="Normal"/>
        <w:jc w:val="both"/>
        <w:rPr>
          <w:rFonts w:ascii="Arial" w:hAnsi="Arial" w:cs="Arial"/>
        </w:rPr>
      </w:pPr>
      <w:r>
        <w:rPr>
          <w:rFonts w:cs="Arial" w:ascii="Arial" w:hAnsi="Arial"/>
        </w:rPr>
        <w:t>Sehr geehrte Damen und Herren,</w:t>
      </w:r>
    </w:p>
    <w:p>
      <w:pPr>
        <w:pStyle w:val="Normal"/>
        <w:jc w:val="both"/>
        <w:rPr>
          <w:rFonts w:ascii="Arial" w:hAnsi="Arial" w:cs="Arial"/>
        </w:rPr>
      </w:pPr>
      <w:r>
        <w:rPr>
          <w:rFonts w:cs="Arial" w:ascii="Arial" w:hAnsi="Arial"/>
        </w:rPr>
      </w:r>
    </w:p>
    <w:p>
      <w:pPr>
        <w:pStyle w:val="Normal"/>
        <w:jc w:val="left"/>
        <w:rPr/>
      </w:pPr>
      <w:r>
        <w:rPr>
          <w:rFonts w:cs="Arial" w:ascii="Arial" w:hAnsi="Arial"/>
        </w:rPr>
        <w:t>Beamtinnen und Beamte haben Anspruch auf Erhalt einer jeweils amtsangemessenen Alimentation nach Art. 33 Abs. 5 GG.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Dazu hat das Bundesverfassungsgericht in grundlegenden und umfassenden Entscheidungen (vgl. nur Bundesverfassungsgericht, Zweiter Senat, Beschluss vom 17. November 2015 zur sog. A-Besoldung – Az.: 2 BvL 5/13) ausdrückliche und verbindliche Festlegungen getroffen. Diese Vorgaben hat es in seiner Entscheidung vom 4. Mai 2020 (vgl. BVerfG 2 BvL 4/18) zur Besoldung von Richterinnen und Richter im Land Berlin ausdrücklich bestätigt, konkretisiert und die Berechnungsparameter präzisiert. Dabei wurde insbesondere das Abstandsgebot zum allgemeinen Grundsicherungsniveau als ein eigenständiger hergebrachter Grundsatz des Berufsbeamtentums hervorgehoben.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Das Abstandsgebot untersagt dem Besoldungsgesetzgeber, ungeachtet seines weiten Gestaltungsspielraums, den Abstand zwischen verschiedenen Besoldungsgruppen, dauerhaft einzuebnen. Jedem Amt ist eine Wertigkeit immanent, die sich in der Besoldungshöhe widerspiegeln muss. Die Wertigkeit wird insbesondere durch die Verantwortung des Amtes und die Inanspruchnahme des Amtsinhabers bestimmt.</w:t>
      </w:r>
    </w:p>
    <w:p>
      <w:pPr>
        <w:pStyle w:val="Normal"/>
        <w:jc w:val="both"/>
        <w:rPr>
          <w:rFonts w:ascii="Arial" w:hAnsi="Arial" w:cs="Arial"/>
        </w:rPr>
      </w:pPr>
      <w:r>
        <w:rPr>
          <w:rFonts w:cs="Arial" w:ascii="Arial" w:hAnsi="Arial"/>
        </w:rPr>
        <w:t>Die amtsangemessene Besoldung ist damit eine notwendigerweise abgestufte Besoldung. Die Parameter dazu, wurden in der Entscheidung vom 23. Mai 2017 (vgl. BVerfG 2 BvR 883/14) in den Rz. 63 bis 86 aufgezeigt.</w:t>
      </w:r>
    </w:p>
    <w:p>
      <w:pPr>
        <w:pStyle w:val="Normal"/>
        <w:jc w:val="both"/>
        <w:rPr>
          <w:rFonts w:ascii="Arial" w:hAnsi="Arial" w:cs="Arial"/>
        </w:rPr>
      </w:pPr>
      <w:r>
        <w:rPr/>
      </w:r>
    </w:p>
    <w:p>
      <w:pPr>
        <w:pStyle w:val="Normal"/>
        <w:jc w:val="both"/>
        <w:rPr>
          <w:rFonts w:ascii="Arial" w:hAnsi="Arial" w:cs="Arial"/>
        </w:rPr>
      </w:pPr>
      <w:r>
        <w:rPr/>
      </w:r>
    </w:p>
    <w:p>
      <w:pPr>
        <w:pStyle w:val="Normal"/>
        <w:jc w:val="both"/>
        <w:rPr>
          <w:rFonts w:ascii="Arial" w:hAnsi="Arial" w:cs="Arial"/>
        </w:rPr>
      </w:pPr>
      <w:r>
        <w:rPr>
          <w:rFonts w:cs="Arial" w:ascii="Arial" w:hAnsi="Arial"/>
        </w:rPr>
        <w:t> </w:t>
      </w:r>
    </w:p>
    <w:p>
      <w:pPr>
        <w:pStyle w:val="Normal"/>
        <w:jc w:val="both"/>
        <w:rPr>
          <w:rFonts w:ascii="Arial" w:hAnsi="Arial" w:cs="Arial"/>
          <w:color w:themeColor="text1" w:val="000000"/>
        </w:rPr>
      </w:pPr>
      <w:r>
        <w:rPr>
          <w:rFonts w:cs="Arial" w:ascii="Arial" w:hAnsi="Arial"/>
          <w:color w:themeColor="text1" w:val="000000"/>
        </w:rPr>
        <w:t xml:space="preserve">Den mit Art. 33 GG vorgegebenen und durch die Rechtsprechung ausgeschärften Vorgaben ist der Besoldungsgesetzgeber in </w:t>
      </w:r>
      <w:r>
        <w:rPr>
          <w:rFonts w:cs="Arial" w:ascii="Arial" w:hAnsi="Arial"/>
          <w:bCs/>
          <w:iCs/>
          <w:color w:themeColor="text1" w:val="000000"/>
        </w:rPr>
        <w:t>Thüringen auch mit</w:t>
      </w:r>
      <w:r>
        <w:rPr>
          <w:rFonts w:cs="Arial" w:ascii="Arial" w:hAnsi="Arial"/>
          <w:bCs/>
          <w:color w:themeColor="text1" w:val="000000"/>
        </w:rPr>
        <w:t xml:space="preserve"> dem </w:t>
      </w:r>
      <w:r>
        <w:rPr>
          <w:rFonts w:cs="Arial" w:ascii="Arial" w:hAnsi="Arial"/>
          <w:color w:themeColor="text1" w:val="000000"/>
        </w:rPr>
        <w:t>Thüringer Gesetz zur Anpassung der Besoldung und Versorgung in den Jahren 2024 und 2025 und zur Änderung besoldungs- und versorgungsrechtlicher sowie anderer Vorschriften vom 2. Juli 2024 nicht im ausreichenden Umfang nachgekommen.</w:t>
      </w:r>
    </w:p>
    <w:p>
      <w:pPr>
        <w:pStyle w:val="Normal"/>
        <w:jc w:val="both"/>
        <w:rPr>
          <w:rFonts w:ascii="Arial" w:hAnsi="Arial" w:cs="Arial"/>
          <w:color w:val="EE0000"/>
        </w:rPr>
      </w:pPr>
      <w:r>
        <w:rPr>
          <w:rFonts w:cs="Arial" w:ascii="Arial" w:hAnsi="Arial"/>
          <w:color w:val="EE0000"/>
        </w:rPr>
      </w:r>
    </w:p>
    <w:p>
      <w:pPr>
        <w:pStyle w:val="Normal"/>
        <w:jc w:val="both"/>
        <w:rPr>
          <w:rFonts w:ascii="Arial" w:hAnsi="Arial" w:cs="Arial"/>
          <w:color w:themeColor="text1" w:val="000000"/>
        </w:rPr>
      </w:pPr>
      <w:r>
        <w:rPr>
          <w:rFonts w:cs="Arial" w:ascii="Arial" w:hAnsi="Arial"/>
          <w:color w:themeColor="text1" w:val="000000"/>
        </w:rPr>
        <w:t>So sind im Rahmen der Grundsicherung die von der Bundesagentur für Arbeit übersandten Kosten für Unterkunft und Heizung in Thüringen im Jahr 2025 gegenüber den Kosten im Vorjahr erheblich gestiegen. Gleiches gilt für die Kosten der Kinderbetreuung mit Blick auf die sinkende Kinderzahl, die steigenden Gehälter für die Erzieher und einen besseren Betreuungsschlüssel. Zudem wurde der Kindersofortzuschlag nach § 72 Abs. 1 SGB II zum 1. Januar 2025 um 5 Euro monatlich erhöht. Im Ergebnis wird sich damit das alimentationsrelevante Grundsicherungsniveau für das Jahr 2025 heben. Ferner ist in der Privaten Krankenversicherung ein signifikanter Anstieg der Krankenversicherungsbeiträge im Jahr 2025 von bis zu 18 Prozent erfolgt.</w:t>
      </w:r>
    </w:p>
    <w:p>
      <w:pPr>
        <w:pStyle w:val="Normal"/>
        <w:jc w:val="both"/>
        <w:rPr>
          <w:rFonts w:ascii="Arial" w:hAnsi="Arial" w:cs="Arial"/>
          <w:color w:themeColor="text1" w:val="000000"/>
        </w:rPr>
      </w:pPr>
      <w:r>
        <w:rPr>
          <w:rFonts w:cs="Arial" w:ascii="Arial" w:hAnsi="Arial"/>
          <w:color w:themeColor="text1" w:val="000000"/>
        </w:rPr>
      </w:r>
    </w:p>
    <w:p>
      <w:pPr>
        <w:pStyle w:val="Normal"/>
        <w:jc w:val="both"/>
        <w:rPr>
          <w:rFonts w:ascii="Arial" w:hAnsi="Arial" w:cs="Arial"/>
          <w:color w:themeColor="text1" w:val="000000"/>
        </w:rPr>
      </w:pPr>
      <w:r>
        <w:rPr>
          <w:rFonts w:cs="Arial" w:ascii="Arial" w:hAnsi="Arial"/>
          <w:color w:themeColor="text1" w:val="000000"/>
        </w:rPr>
        <w:t>Auch aus den genannten Gründen halte ich meine Besoldung auch weiterhin für mit dem vom BVerfG getätigten Vorgaben nicht vereinbar, sodass ich gegen diese</w:t>
      </w:r>
    </w:p>
    <w:p>
      <w:pPr>
        <w:pStyle w:val="Normal"/>
        <w:jc w:val="both"/>
        <w:rPr>
          <w:rFonts w:ascii="Arial" w:hAnsi="Arial" w:cs="Arial"/>
          <w:color w:themeColor="text1" w:val="000000"/>
        </w:rPr>
      </w:pPr>
      <w:r>
        <w:rPr/>
      </w:r>
    </w:p>
    <w:p>
      <w:pPr>
        <w:pStyle w:val="Normal"/>
        <w:jc w:val="both"/>
        <w:rPr>
          <w:rFonts w:ascii="Arial" w:hAnsi="Arial" w:cs="Arial"/>
          <w:color w:themeColor="text1" w:val="000000"/>
        </w:rPr>
      </w:pPr>
      <w:r>
        <w:rPr>
          <w:rFonts w:cs="Arial" w:ascii="Arial" w:hAnsi="Arial"/>
          <w:b/>
          <w:u w:val="single"/>
        </w:rPr>
        <w:t>Widerspruch einlege und beantrage</w:t>
      </w:r>
      <w:r>
        <w:rPr>
          <w:rFonts w:cs="Arial" w:ascii="Arial" w:hAnsi="Arial"/>
        </w:rPr>
        <w:t>,</w:t>
      </w:r>
    </w:p>
    <w:p>
      <w:pPr>
        <w:pStyle w:val="Normal"/>
        <w:jc w:val="both"/>
        <w:rPr>
          <w:rFonts w:ascii="Arial" w:hAnsi="Arial" w:cs="Arial"/>
          <w:color w:themeColor="text1" w:val="000000"/>
        </w:rPr>
      </w:pPr>
      <w:r>
        <w:rPr/>
      </w:r>
    </w:p>
    <w:p>
      <w:pPr>
        <w:pStyle w:val="Normal"/>
        <w:jc w:val="both"/>
        <w:rPr>
          <w:rFonts w:ascii="Arial" w:hAnsi="Arial" w:cs="Arial"/>
          <w:color w:themeColor="text1" w:val="000000"/>
        </w:rPr>
      </w:pPr>
      <w:r>
        <w:rPr>
          <w:rFonts w:cs="Arial" w:ascii="Arial" w:hAnsi="Arial"/>
          <w:b/>
          <w:bCs/>
        </w:rPr>
        <w:t>mir eine amtsangemessene Besoldung zu gewähren, die den in dem Urteil des Bundesverfassungsgerichts aus dem Jahr 2015 sowie aus dem Jahr2020 aufgestellten Parametern und damit dem Grundsatz der amtsangemessenen Alimentation entspricht. </w:t>
      </w:r>
    </w:p>
    <w:p>
      <w:pPr>
        <w:pStyle w:val="Normal"/>
        <w:jc w:val="both"/>
        <w:rPr>
          <w:rFonts w:ascii="Arial" w:hAnsi="Arial" w:cs="Arial"/>
          <w:color w:themeColor="text1" w:val="000000"/>
        </w:rPr>
      </w:pPr>
      <w:r>
        <w:rPr/>
      </w:r>
    </w:p>
    <w:p>
      <w:pPr>
        <w:pStyle w:val="Normal"/>
        <w:jc w:val="both"/>
        <w:rPr>
          <w:rFonts w:ascii="Arial" w:hAnsi="Arial" w:cs="Arial"/>
          <w:color w:themeColor="text1" w:val="000000"/>
        </w:rPr>
      </w:pPr>
      <w:r>
        <w:rPr>
          <w:rFonts w:cs="Arial" w:ascii="Arial" w:hAnsi="Arial"/>
          <w:b/>
          <w:bCs/>
        </w:rPr>
        <w:t>Gleiches beantrage ich für die mir zustehenden Zulagen und Sonderzahlungen.</w:t>
      </w:r>
      <w:r>
        <w:rPr>
          <w:rFonts w:cs="Arial" w:ascii="Arial" w:hAnsi="Arial"/>
          <w:b/>
        </w:rPr>
        <w:t> Mein Widerspruch richtet sich auch gegen künftig auf Basis der im Jahr 2025 festgesetzten Besoldung aufbauende Besoldungen der kommenden Jahre.</w:t>
      </w:r>
    </w:p>
    <w:p>
      <w:pPr>
        <w:pStyle w:val="Normal"/>
        <w:jc w:val="both"/>
        <w:rPr>
          <w:rFonts w:ascii="Arial" w:hAnsi="Arial" w:cs="Arial"/>
          <w:color w:themeColor="text1" w:val="000000"/>
        </w:rPr>
      </w:pPr>
      <w:r>
        <w:rPr/>
      </w:r>
    </w:p>
    <w:p>
      <w:pPr>
        <w:pStyle w:val="Normal"/>
        <w:jc w:val="both"/>
        <w:rPr>
          <w:rFonts w:ascii="Arial" w:hAnsi="Arial" w:cs="Arial"/>
        </w:rPr>
      </w:pPr>
      <w:r>
        <w:rPr>
          <w:rFonts w:cs="Arial" w:ascii="Arial" w:hAnsi="Arial"/>
        </w:rPr>
        <w:t>Gleichzeitig bitte ich bis zur verfassungsgemäßen Umsetzung der Entscheidung durch den für meine Besoldung zuständigen Gesetzgeber meinen Antrag ruhen zu lassen, auf die Einrede der Verjährung zu verzichten und mir dies entsprechend zu bestätigen.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Ausdrücklich ersuche ich um eine kurze schriftliche Bestätigung des Eingangs meines Widerspruchs, um den zeitgerechten Eingang auch einem Gericht ggü. nachweisen zu können.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Mit freundlichen Grüßen,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Max Mustermann</w:t>
      </w:r>
    </w:p>
    <w:sectPr>
      <w:headerReference w:type="even" r:id="rId2"/>
      <w:headerReference w:type="default" r:id="rId3"/>
      <w:headerReference w:type="first" r:id="rId4"/>
      <w:type w:val="nextPage"/>
      <w:pgSz w:w="11906" w:h="16838"/>
      <w:pgMar w:left="1418" w:right="1134" w:gutter="0" w:header="720" w:top="777" w:footer="0" w:bottom="56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heSansOffice">
    <w:charset w:val="00"/>
    <w:family w:val="swiss"/>
    <w:pitch w:val="variable"/>
  </w:font>
  <w:font w:name="Segoe UI">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docVars>
    <w:docVar w:name="VISOPTIONS_VISNEW" w:val="false"/>
    <w:docVar w:name="VISOPTIONS_VISFIELDDOCOPTIONS" w:val="false"/>
    <w:docVar w:name="VISOPTIONS_VISFIELDSUPDATESTAT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TheSansOffice" w:hAnsi="TheSansOffice" w:eastAsia="Times New Roman" w:cs="Times New Roman"/>
      <w:color w:val="auto"/>
      <w:kern w:val="2"/>
      <w:sz w:val="24"/>
      <w:szCs w:val="24"/>
      <w:lang w:val="de-DE" w:eastAsia="de-DE" w:bidi="ar-SA"/>
    </w:rPr>
  </w:style>
  <w:style w:type="paragraph" w:styleId="Heading1">
    <w:name w:val="heading 1"/>
    <w:basedOn w:val="Normal"/>
    <w:next w:val="Textbody"/>
    <w:uiPriority w:val="9"/>
    <w:qFormat/>
    <w:pPr>
      <w:spacing w:before="100" w:after="100"/>
      <w:outlineLvl w:val="0"/>
    </w:pPr>
    <w:rPr>
      <w:rFonts w:ascii="Times New Roman" w:hAnsi="Times New Roman"/>
      <w:b/>
      <w:bCs/>
      <w:sz w:val="48"/>
      <w:szCs w:val="48"/>
    </w:rPr>
  </w:style>
  <w:style w:type="character" w:styleId="DefaultParagraphFont" w:default="1">
    <w:name w:val="Default Paragraph Font"/>
    <w:uiPriority w:val="1"/>
    <w:unhideWhenUsed/>
    <w:qFormat/>
    <w:rPr/>
  </w:style>
  <w:style w:type="character" w:styleId="KopfzeileZchn" w:customStyle="1">
    <w:name w:val="Kopfzeile Zchn"/>
    <w:qFormat/>
    <w:rPr>
      <w:rFonts w:ascii="TheSansOffice" w:hAnsi="TheSansOffice" w:eastAsia="Times New Roman"/>
      <w:sz w:val="24"/>
      <w:szCs w:val="24"/>
    </w:rPr>
  </w:style>
  <w:style w:type="character" w:styleId="FuzeileZchn" w:customStyle="1">
    <w:name w:val="Fußzeile Zchn"/>
    <w:qFormat/>
    <w:rPr>
      <w:rFonts w:ascii="TheSansOffice" w:hAnsi="TheSansOffice" w:eastAsia="Times New Roman"/>
      <w:sz w:val="24"/>
      <w:szCs w:val="24"/>
    </w:rPr>
  </w:style>
  <w:style w:type="character" w:styleId="SprechblasentextZchn" w:customStyle="1">
    <w:name w:val="Sprechblasentext Zchn"/>
    <w:qFormat/>
    <w:rPr>
      <w:rFonts w:ascii="Segoe UI" w:hAnsi="Segoe UI" w:eastAsia="Times New Roman" w:cs="Segoe UI"/>
      <w:sz w:val="18"/>
      <w:szCs w:val="18"/>
    </w:rPr>
  </w:style>
  <w:style w:type="character" w:styleId="berschrift1Zchn" w:customStyle="1">
    <w:name w:val="Überschrift 1 Zchn"/>
    <w:basedOn w:val="DefaultParagraphFont"/>
    <w:qFormat/>
    <w:rPr>
      <w:rFonts w:ascii="Times New Roman" w:hAnsi="Times New Roman" w:eastAsia="Times New Roman"/>
      <w:b/>
      <w:bCs/>
      <w:kern w:val="2"/>
      <w:sz w:val="48"/>
      <w:szCs w:val="48"/>
    </w:rPr>
  </w:style>
  <w:style w:type="paragraph" w:styleId="berschrift" w:customStyle="1">
    <w:name w:val="Überschrift"/>
    <w:basedOn w:val="Normal"/>
    <w:next w:val="Textbody"/>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rPr>
  </w:style>
  <w:style w:type="paragraph" w:styleId="Verzeichnis" w:customStyle="1">
    <w:name w:val="Verzeichnis"/>
    <w:basedOn w:val="Normal"/>
    <w:qFormat/>
    <w:pPr>
      <w:suppressLineNumbers/>
    </w:pPr>
    <w:rPr>
      <w:rFonts w:cs="Arial"/>
    </w:rPr>
  </w:style>
  <w:style w:type="paragraph" w:styleId="Textbody" w:customStyle="1">
    <w:name w:val="Text body"/>
    <w:basedOn w:val="Normal"/>
    <w:qFormat/>
    <w:pPr>
      <w:spacing w:before="0" w:after="120"/>
    </w:pPr>
    <w:rPr/>
  </w:style>
  <w:style w:type="paragraph" w:styleId="Kopf-Fuzeile">
    <w:name w:val="Kopf-/Fußzeile"/>
    <w:basedOn w:val="Normal"/>
    <w:qFormat/>
    <w:pPr/>
    <w:rPr/>
  </w:style>
  <w:style w:type="paragraph" w:styleId="Header">
    <w:name w:val="header"/>
    <w:basedOn w:val="Normal"/>
    <w:pPr>
      <w:suppressLineNumbers/>
      <w:tabs>
        <w:tab w:val="clear" w:pos="708"/>
        <w:tab w:val="center" w:pos="4536" w:leader="none"/>
        <w:tab w:val="right" w:pos="9072" w:leader="none"/>
      </w:tabs>
    </w:pPr>
    <w:rPr/>
  </w:style>
  <w:style w:type="paragraph" w:styleId="Footer">
    <w:name w:val="footer"/>
    <w:basedOn w:val="Normal"/>
    <w:pPr>
      <w:suppressLineNumbers/>
      <w:tabs>
        <w:tab w:val="clear" w:pos="708"/>
        <w:tab w:val="center" w:pos="4536" w:leader="none"/>
        <w:tab w:val="right" w:pos="9072" w:leader="none"/>
      </w:tabs>
    </w:pPr>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uiPriority w:val="99"/>
    <w:semiHidden/>
    <w:unhideWhenUsed/>
    <w:qFormat/>
    <w:rsid w:val="00ee15ff"/>
    <w:pPr/>
    <w:rPr>
      <w:rFonts w:ascii="Times New Roman" w:hAnsi="Times New Roman"/>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Application>Office_Suite_Thüringer_Justizvollzug/24.8.4.2_AA$Windows_X86_64 LibreOffice_project/6b34e49391094bd1a0d5b2d6dfad42b26d0dabc8</Application>
  <AppVersion>15.0000</AppVersion>
  <Pages>2</Pages>
  <Words>540</Words>
  <Characters>3493</Characters>
  <CharactersWithSpaces>4040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language>de-DE</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